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Lee Schwamm: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Schwamm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laptop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Lee Schwamm: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Telemedicine's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1960s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satellite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eureka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Schwamm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Schwamm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Schwamm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Lee Schwamm: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Lee Schwamm: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Airbnb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[hotel-ing 00:03:05]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Alteplase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/7/365.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Lee Schwamm: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[tele-neurology 00:05:37]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dermatology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reimbursement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Lee Schwamm: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accompanied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iPad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maneuvers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unmasked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[un-gowned 00:08:03]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Lancet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Lee Schwamm: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quarantined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quarantined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simultaneously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Lee Schwamm: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iPad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lingual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Ziploc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Lee Schwamm: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Arabic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Arabic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recalibration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consolidate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Lee Schwamm: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deliberation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wristwatches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mattresses.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deterioration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arbitrarily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upscaling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iPad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upgrading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Lee Schwamm: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crowded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disenfranchised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inadvertently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discretionary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lingual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unemployed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Lee Schwamm: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unbiased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Schwamm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Lee Schwamm: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philanthropists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Lee Schwamm: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Klein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Chelsea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2021-01-08_Proto_Podcast_telemedicines-moment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