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Egyptians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exaggerated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qSOFA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vasopressor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constellation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vasopressor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clostridium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Fraunhofer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jeopardy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abdominal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Kai Sohn: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Fraunhofer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bloodborne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multimodal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Michael Phi...: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2019-07-18_Proto_Podcast_battle-plan-for-sepsis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