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Jarvis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milestones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pediatric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Bureau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coincided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immeasurable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Distinguished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Daphne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Daphne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schizophrenia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quantitative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schizophrenia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impairment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Claflin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subsidized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Daphne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Daphne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orthopedics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neurosurgery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Daphne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Daphne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Daphne Holt: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 Tarbell: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Jason Anthony: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2018-05-10_Proto_Podcast_mothers-in-medicine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