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Schultz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 Schmidt: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Schultz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afterglow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rationale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antimicrobial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Eschar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penicillin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sulfa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intravenous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sulfa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[Sheridan 00:06:47]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rescued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[Louis Arald 00:06:58]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 Arald: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itinerary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 Schmidt: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Schmidt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Sheridan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!"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 Arald: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pseudo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 Schmidt: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rescuer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Sheridan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rescuer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rescued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 Arald: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whispered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.'"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 Schmidt: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morphine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hallucinating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Nazis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Nazis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 Arald: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 Schmidt: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 Arald: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parachuting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 Schmidt: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Sheridan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 Arald: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 Schmidt: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rescuer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Sheridan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submarine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Schultz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rehabilitation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antimicrobials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rehabilitation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ambulance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cigarette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cigarette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cigarette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cigarette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Schultz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Schultz: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2017-11-21_Proto_Podcast_cocoanut-grove-fire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