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Samuel J. Sincl...: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Sinclair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Brewster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Orlando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Sinclair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Gotbaum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Gotbaum: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Sinclair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Samuel J. Sincl...: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Gotbaum: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Samuel J. Sincl...: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perpetuates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Gotbaum: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Samuel J. Sincl...: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conceptualizes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quantifiable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Gotbaum: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Samuel J. Sincl...: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Gotbaum: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Samuel J. Sincl...: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Gotbaum: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Samuel J. Sincl...: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Gotbaum: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Samuel J. Sincl...: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Brussels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Sinclair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Gotbaum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Sinclair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Sinclair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Sinclair's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Brewster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Brewster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kiosk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Brewster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Annie Brews...: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sclerosis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wholeheartedly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Annie Brews...: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astonished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Annie Brews...: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astonishes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Annie Brews...: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kiosk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hassled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Annie Brews...: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Annie Brews...: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Brewster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Annie Brews...: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healthstorycollaborative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protomag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2017-06-06_Proto_Podcast_the-story-prescription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